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sz w:val="24"/>
          <w:szCs w:val="24"/>
        </w:rPr>
      </w:pPr>
      <w:bookmarkStart w:id="0" w:name="_Toc318271360"/>
      <w:r w:rsidRPr="00EF350A">
        <w:rPr>
          <w:rFonts w:ascii="Arial" w:hAnsi="Arial" w:cs="Arial"/>
          <w:sz w:val="24"/>
          <w:szCs w:val="24"/>
        </w:rPr>
        <w:t>Tabla 1.Indicadores sobre la estructura de la competencia partidaria en las elecciones presidenciales. Argentina, 1946-2011</w:t>
      </w:r>
      <w:bookmarkEnd w:id="0"/>
      <w:r w:rsidR="00986B52" w:rsidRPr="00986B52">
        <w:rPr>
          <w:rFonts w:ascii="Arial" w:hAnsi="Arial" w:cs="Arial"/>
          <w:sz w:val="24"/>
          <w:szCs w:val="24"/>
        </w:rPr>
        <w:fldChar w:fldCharType="begin"/>
      </w:r>
      <w:r w:rsidRPr="00EF350A">
        <w:rPr>
          <w:rFonts w:ascii="Arial" w:hAnsi="Arial" w:cs="Arial"/>
          <w:sz w:val="24"/>
          <w:szCs w:val="24"/>
        </w:rPr>
        <w:instrText xml:space="preserve"> LINK Excel.Sheet.8 "D:\\Mario\\Mfn_22mayo2012\\Inv Federalismo&amp;Partidos\\Data\\VotoPres s_prov 1916-2011.xls" Hoja2!F1C12:F14C18 \a \f 4 \h  \* MERGEFORMAT </w:instrText>
      </w:r>
      <w:r w:rsidR="00986B52" w:rsidRPr="00986B52">
        <w:rPr>
          <w:rFonts w:ascii="Arial" w:hAnsi="Arial" w:cs="Arial"/>
          <w:sz w:val="24"/>
          <w:szCs w:val="24"/>
        </w:rPr>
        <w:fldChar w:fldCharType="separate"/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2280"/>
        <w:gridCol w:w="1140"/>
        <w:gridCol w:w="1300"/>
        <w:gridCol w:w="1200"/>
        <w:gridCol w:w="1200"/>
        <w:gridCol w:w="1200"/>
      </w:tblGrid>
      <w:tr w:rsidR="00506D05" w:rsidRPr="00EF350A" w:rsidTr="00A50A1F">
        <w:trPr>
          <w:trHeight w:val="2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F350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F350A">
              <w:rPr>
                <w:rFonts w:ascii="Arial" w:eastAsia="Times New Roman" w:hAnsi="Arial" w:cs="Arial"/>
                <w:b/>
                <w:bCs/>
              </w:rPr>
              <w:t>Partido ganador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F350A">
              <w:rPr>
                <w:rFonts w:ascii="Arial" w:eastAsia="Times New Roman" w:hAnsi="Arial" w:cs="Arial"/>
                <w:b/>
                <w:bCs/>
              </w:rPr>
              <w:t>¿2º vuelta?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F350A">
              <w:rPr>
                <w:rFonts w:ascii="Arial" w:eastAsia="Times New Roman" w:hAnsi="Arial" w:cs="Arial"/>
                <w:b/>
                <w:bCs/>
              </w:rPr>
              <w:t>% voto ganador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F350A">
              <w:rPr>
                <w:rFonts w:ascii="Arial" w:eastAsia="Times New Roman" w:hAnsi="Arial" w:cs="Arial"/>
                <w:b/>
                <w:bCs/>
              </w:rPr>
              <w:t>% 2a fuerza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EF350A">
              <w:rPr>
                <w:rFonts w:ascii="Arial" w:eastAsia="Times New Roman" w:hAnsi="Arial" w:cs="Arial"/>
                <w:b/>
                <w:bCs/>
              </w:rPr>
              <w:t>Dif</w:t>
            </w:r>
            <w:proofErr w:type="spellEnd"/>
            <w:r w:rsidRPr="00EF350A">
              <w:rPr>
                <w:rFonts w:ascii="Arial" w:eastAsia="Times New Roman" w:hAnsi="Arial" w:cs="Arial"/>
                <w:b/>
                <w:bCs/>
              </w:rPr>
              <w:t xml:space="preserve"> 1º-2º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F350A">
              <w:rPr>
                <w:rFonts w:ascii="Arial" w:eastAsia="Times New Roman" w:hAnsi="Arial" w:cs="Arial"/>
                <w:b/>
                <w:bCs/>
              </w:rPr>
              <w:t>Suma 1º-2º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Peronista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52,40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42,9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9,89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94,91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UCRI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44,92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31,8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16,03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73,80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UCRP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Sí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25,14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28,9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8,73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41,54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F350A">
              <w:rPr>
                <w:rFonts w:ascii="Arial" w:eastAsia="Times New Roman" w:hAnsi="Arial" w:cs="Arial"/>
              </w:rPr>
              <w:t>Frejuli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53,51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21,5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30,69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76,33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UCR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51,75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11,58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91,91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F350A">
              <w:rPr>
                <w:rFonts w:ascii="Arial" w:eastAsia="Times New Roman" w:hAnsi="Arial" w:cs="Arial"/>
              </w:rPr>
              <w:t>Fte</w:t>
            </w:r>
            <w:proofErr w:type="spellEnd"/>
            <w:r w:rsidRPr="00EF350A">
              <w:rPr>
                <w:rFonts w:ascii="Arial" w:eastAsia="Times New Roman" w:hAnsi="Arial" w:cs="Arial"/>
              </w:rPr>
              <w:t>. Justicialista Popular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47,49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32,5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15,05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79,94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PJ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44,94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28,3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16,58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73,31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1999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Alianza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48,37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38,3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10,09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86,64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Al. </w:t>
            </w:r>
            <w:proofErr w:type="spellStart"/>
            <w:r w:rsidRPr="00EF350A">
              <w:rPr>
                <w:rFonts w:ascii="Arial" w:eastAsia="Times New Roman" w:hAnsi="Arial" w:cs="Arial"/>
              </w:rPr>
              <w:t>Fte</w:t>
            </w:r>
            <w:proofErr w:type="spellEnd"/>
            <w:r w:rsidRPr="00EF350A">
              <w:rPr>
                <w:rFonts w:ascii="Arial" w:eastAsia="Times New Roman" w:hAnsi="Arial" w:cs="Arial"/>
              </w:rPr>
              <w:t>. Victoria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45,03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23,3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21,97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67,87</w:t>
            </w:r>
          </w:p>
        </w:tc>
      </w:tr>
      <w:tr w:rsidR="00506D05" w:rsidRPr="00EF350A" w:rsidTr="00A50A1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2011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F350A">
              <w:rPr>
                <w:rFonts w:ascii="Arial" w:eastAsia="Times New Roman" w:hAnsi="Arial" w:cs="Arial"/>
              </w:rPr>
              <w:t>Fte</w:t>
            </w:r>
            <w:proofErr w:type="spellEnd"/>
            <w:r w:rsidRPr="00EF350A">
              <w:rPr>
                <w:rFonts w:ascii="Arial" w:eastAsia="Times New Roman" w:hAnsi="Arial" w:cs="Arial"/>
              </w:rPr>
              <w:t>. Victoria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54,11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16,6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37,53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70,70</w:t>
            </w:r>
          </w:p>
        </w:tc>
      </w:tr>
      <w:tr w:rsidR="00506D05" w:rsidRPr="00EF350A" w:rsidTr="00A50A1F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Promedio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46,77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30,42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17,81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75,70 </w:t>
            </w:r>
          </w:p>
        </w:tc>
      </w:tr>
      <w:tr w:rsidR="00506D05" w:rsidRPr="00EF350A" w:rsidTr="00A50A1F">
        <w:trPr>
          <w:trHeight w:val="255"/>
        </w:trPr>
        <w:tc>
          <w:tcPr>
            <w:tcW w:w="40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Pendiente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0,24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0,51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  <w:color w:val="FF0000"/>
              </w:rPr>
              <w:t xml:space="preserve">-0,04 </w:t>
            </w:r>
          </w:p>
        </w:tc>
      </w:tr>
      <w:tr w:rsidR="00506D05" w:rsidRPr="00EF350A" w:rsidTr="00A50A1F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MENEM - ROMERO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24,45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22,30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 xml:space="preserve">2,21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</w:rPr>
            </w:pPr>
            <w:r w:rsidRPr="00EF350A">
              <w:rPr>
                <w:rFonts w:ascii="Arial" w:eastAsia="Times New Roman" w:hAnsi="Arial" w:cs="Arial"/>
              </w:rPr>
              <w:t>46,70</w:t>
            </w:r>
          </w:p>
        </w:tc>
      </w:tr>
    </w:tbl>
    <w:p w:rsidR="00506D05" w:rsidRPr="00EF350A" w:rsidRDefault="00986B52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  <w:sz w:val="24"/>
          <w:szCs w:val="24"/>
        </w:rPr>
        <w:fldChar w:fldCharType="end"/>
      </w:r>
      <w:r w:rsidR="00506D05" w:rsidRPr="00EF350A">
        <w:rPr>
          <w:rFonts w:ascii="Arial" w:hAnsi="Arial" w:cs="Arial"/>
        </w:rPr>
        <w:t xml:space="preserve">Fuente: Elaboración propia con base en Cantón (1968) y Ministerio del Interior, Argentina. </w:t>
      </w:r>
      <w:hyperlink r:id="rId4" w:history="1">
        <w:r w:rsidR="00506D05"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506D05" w:rsidRPr="00EF350A" w:rsidRDefault="00506D05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</w:rPr>
        <w:t>Nota: no obstante se muestra en el último renglón la información pertinente, se ha excluido del análisis la atípica elección del año 2003; excepcionalidad señalada en dos hechos únicos en la historia electoral del país: se trató de una elección presidencial por fórmula de candidatos, no por partidos, y los legisladores nacionales no se eligieron de modo simultáneo con el presidente, sino sólo en dos distritos, La Rioja y Santiago del Estero.</w:t>
      </w:r>
    </w:p>
    <w:p w:rsidR="00EF350A" w:rsidRDefault="00EF35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06D05" w:rsidRPr="00EF350A" w:rsidRDefault="00506D05" w:rsidP="00EF350A">
      <w:pPr>
        <w:rPr>
          <w:rFonts w:ascii="Arial" w:hAnsi="Arial" w:cs="Arial"/>
        </w:rPr>
      </w:pPr>
    </w:p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sz w:val="24"/>
          <w:szCs w:val="24"/>
        </w:rPr>
      </w:pPr>
      <w:bookmarkStart w:id="1" w:name="_Toc318271363"/>
      <w:r w:rsidRPr="00EF350A">
        <w:rPr>
          <w:rFonts w:ascii="Arial" w:hAnsi="Arial" w:cs="Arial"/>
          <w:sz w:val="24"/>
          <w:szCs w:val="24"/>
        </w:rPr>
        <w:t>Gráfico 1. Evolución del Número Efectivo de Partidos. Promedio interprovincial simple –prom_i- y ponderado según población –prom_p’. Período 1983-2009</w:t>
      </w:r>
      <w:bookmarkEnd w:id="1"/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</w:p>
    <w:p w:rsidR="00506D05" w:rsidRPr="00EF350A" w:rsidRDefault="00506D05" w:rsidP="00EF350A">
      <w:pPr>
        <w:jc w:val="both"/>
        <w:rPr>
          <w:rFonts w:ascii="Arial" w:hAnsi="Arial" w:cs="Arial"/>
          <w:noProof/>
          <w:sz w:val="24"/>
          <w:szCs w:val="24"/>
        </w:rPr>
      </w:pPr>
      <w:r w:rsidRPr="00EF350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267325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2" w:name="_GoBack"/>
      <w:bookmarkEnd w:id="2"/>
    </w:p>
    <w:p w:rsidR="00506D05" w:rsidRDefault="00506D05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</w:rPr>
        <w:t xml:space="preserve">Fuente: Elaboración propia con base en datos del Ministerio del Interior, Argentina. </w:t>
      </w:r>
      <w:hyperlink r:id="rId6" w:history="1">
        <w:r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EF350A" w:rsidRDefault="00EF350A" w:rsidP="00EF350A">
      <w:pPr>
        <w:jc w:val="both"/>
        <w:rPr>
          <w:rFonts w:ascii="Arial" w:hAnsi="Arial" w:cs="Arial"/>
        </w:rPr>
      </w:pPr>
    </w:p>
    <w:p w:rsidR="00EF350A" w:rsidRDefault="00EF35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sz w:val="24"/>
          <w:szCs w:val="24"/>
        </w:rPr>
      </w:pPr>
      <w:bookmarkStart w:id="3" w:name="_Toc318271364"/>
      <w:r w:rsidRPr="00EF350A">
        <w:rPr>
          <w:rFonts w:ascii="Arial" w:hAnsi="Arial" w:cs="Arial"/>
          <w:sz w:val="24"/>
          <w:szCs w:val="24"/>
        </w:rPr>
        <w:lastRenderedPageBreak/>
        <w:t>Tabla 2. Indicadores sobre el Número Efectivo de Partidos según jurisdicción. Promedios, Desviación estándar y Pendiente. Período 1983-2009</w:t>
      </w:r>
      <w:bookmarkEnd w:id="3"/>
      <w:r w:rsidR="00986B52" w:rsidRPr="00986B52">
        <w:rPr>
          <w:rFonts w:ascii="Arial" w:hAnsi="Arial" w:cs="Arial"/>
          <w:noProof/>
          <w:sz w:val="24"/>
          <w:szCs w:val="24"/>
        </w:rPr>
        <w:fldChar w:fldCharType="begin"/>
      </w:r>
      <w:r w:rsidRPr="00EF350A">
        <w:rPr>
          <w:rFonts w:ascii="Arial" w:hAnsi="Arial" w:cs="Arial"/>
          <w:noProof/>
          <w:sz w:val="24"/>
          <w:szCs w:val="24"/>
        </w:rPr>
        <w:instrText xml:space="preserve"> LINK Excel.Sheet.12 D:\\Mario\\Mfn_22mayo2012\\Trabajos\\Studia\\Studia_ap.xlsx "Neps 1983-2009!F27C1:F55C5" \a \f 5 \h  \* MERGEFORMAT </w:instrText>
      </w:r>
      <w:r w:rsidR="00986B52" w:rsidRPr="00986B52">
        <w:rPr>
          <w:rFonts w:ascii="Arial" w:hAnsi="Arial" w:cs="Arial"/>
          <w:noProof/>
          <w:sz w:val="24"/>
          <w:szCs w:val="24"/>
        </w:rPr>
        <w:fldChar w:fldCharType="separate"/>
      </w:r>
    </w:p>
    <w:tbl>
      <w:tblPr>
        <w:tblStyle w:val="Tablaconcuadrcula"/>
        <w:tblpPr w:leftFromText="141" w:rightFromText="141" w:vertAnchor="text" w:tblpY="1"/>
        <w:tblOverlap w:val="never"/>
        <w:tblW w:w="7570" w:type="dxa"/>
        <w:tblLook w:val="04A0"/>
      </w:tblPr>
      <w:tblGrid>
        <w:gridCol w:w="1350"/>
        <w:gridCol w:w="2200"/>
        <w:gridCol w:w="1398"/>
        <w:gridCol w:w="1644"/>
        <w:gridCol w:w="1363"/>
      </w:tblGrid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</w:tc>
        <w:tc>
          <w:tcPr>
            <w:tcW w:w="4099" w:type="dxa"/>
            <w:gridSpan w:val="3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Indicadores NEP 1983-2009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Tipo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Provincia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Promedio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DesviaciónE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Pendiente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Central(5)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Capital Federal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4,32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1,70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0,14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Central(5)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Buenos Aires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3,52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1,15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0,10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Central(5)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Córdoba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3,73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1,54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0,20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Central(5)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Mendoza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3,72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1,81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0,17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Central(5)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Santa Fe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3,65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0,90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0,07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Central(7)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Entre Ríos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2,79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1,26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0,05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Central(7)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Tucumán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3,68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1,18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0,04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Periféricas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Catamarca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2,82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0,75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0,08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Corrientes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3,85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2,09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0,10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Chaco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2,88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0,90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0,05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Chubut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2,84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0,46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0,00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Formosa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2,48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0,67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-0,00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Jujuy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3,42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0,82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-0,00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La Pampa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3,07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1,07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0,06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La Rioja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2,09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0,41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0,02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Misiones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2,71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0,91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0,09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Neuquén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3,77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0,96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0,09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Río Negro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3,20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0,84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0,08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Salta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3,13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0,90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0,04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San Juan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3,40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0,68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-0,01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San Luis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2,31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0,42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-0,03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Santa Cruz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2,27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0,33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-0,01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Santiago del Estero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2,68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0,56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-0,01 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Perif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Tierra del Fuego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3,57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1,65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 xml:space="preserve">0,14 </w:t>
            </w:r>
          </w:p>
        </w:tc>
      </w:tr>
      <w:tr w:rsidR="00506D05" w:rsidRPr="00EF350A" w:rsidTr="00EF350A">
        <w:trPr>
          <w:trHeight w:val="255"/>
        </w:trPr>
        <w:tc>
          <w:tcPr>
            <w:tcW w:w="7570" w:type="dxa"/>
            <w:gridSpan w:val="5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</w:tc>
      </w:tr>
      <w:tr w:rsidR="00506D05" w:rsidRPr="00EF350A" w:rsidTr="00EF350A">
        <w:trPr>
          <w:trHeight w:val="255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Promedio Central(5)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3,79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1,42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0,14 </w:t>
            </w:r>
          </w:p>
        </w:tc>
      </w:tr>
      <w:tr w:rsidR="00506D05" w:rsidRPr="00EF350A" w:rsidTr="00EF350A">
        <w:trPr>
          <w:trHeight w:val="270"/>
        </w:trPr>
        <w:tc>
          <w:tcPr>
            <w:tcW w:w="1271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noProof/>
                <w:sz w:val="24"/>
                <w:szCs w:val="24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Promedio Perifericas</w:t>
            </w:r>
          </w:p>
        </w:tc>
        <w:tc>
          <w:tcPr>
            <w:tcW w:w="1398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2,97 </w:t>
            </w:r>
          </w:p>
        </w:tc>
        <w:tc>
          <w:tcPr>
            <w:tcW w:w="1436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0,85 </w:t>
            </w:r>
          </w:p>
        </w:tc>
        <w:tc>
          <w:tcPr>
            <w:tcW w:w="1265" w:type="dxa"/>
            <w:noWrap/>
            <w:hideMark/>
          </w:tcPr>
          <w:p w:rsidR="00506D05" w:rsidRPr="00EF350A" w:rsidRDefault="00506D05" w:rsidP="00EF350A">
            <w:pPr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F35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0,04 </w:t>
            </w:r>
          </w:p>
        </w:tc>
      </w:tr>
    </w:tbl>
    <w:p w:rsidR="00506D05" w:rsidRPr="00EF350A" w:rsidRDefault="00986B52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  <w:noProof/>
          <w:sz w:val="24"/>
          <w:szCs w:val="24"/>
        </w:rPr>
        <w:fldChar w:fldCharType="end"/>
      </w:r>
      <w:r w:rsidR="00EF350A">
        <w:rPr>
          <w:rFonts w:ascii="Arial" w:hAnsi="Arial" w:cs="Arial"/>
        </w:rPr>
        <w:br w:type="textWrapping" w:clear="all"/>
      </w:r>
      <w:r w:rsidR="00506D05" w:rsidRPr="00EF350A">
        <w:rPr>
          <w:rFonts w:ascii="Arial" w:hAnsi="Arial" w:cs="Arial"/>
        </w:rPr>
        <w:t xml:space="preserve">Fuente: Elaboración propia con base en Cantón (1968) y Ministerio del Interior, Argentina, </w:t>
      </w:r>
      <w:hyperlink r:id="rId7" w:history="1">
        <w:r w:rsidR="00506D05"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506D05" w:rsidRPr="00EF350A" w:rsidRDefault="00506D05" w:rsidP="00EF350A">
      <w:pPr>
        <w:rPr>
          <w:rFonts w:ascii="Arial" w:hAnsi="Arial" w:cs="Arial"/>
        </w:rPr>
      </w:pPr>
    </w:p>
    <w:p w:rsidR="00EF350A" w:rsidRDefault="00EF35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b/>
          <w:sz w:val="24"/>
          <w:szCs w:val="24"/>
        </w:rPr>
      </w:pPr>
      <w:r w:rsidRPr="00EF350A">
        <w:rPr>
          <w:rFonts w:ascii="Arial" w:hAnsi="Arial" w:cs="Arial"/>
          <w:sz w:val="24"/>
          <w:szCs w:val="24"/>
        </w:rPr>
        <w:lastRenderedPageBreak/>
        <w:t>Tabla 3. Indicadores sobre NEP. Valores totales y según tipo de provincias para cada fase histórica. 1914-2009</w:t>
      </w:r>
    </w:p>
    <w:p w:rsidR="00506D05" w:rsidRPr="00EF350A" w:rsidRDefault="00986B52" w:rsidP="00EF350A">
      <w:pPr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sz w:val="24"/>
          <w:szCs w:val="24"/>
        </w:rPr>
        <w:fldChar w:fldCharType="begin"/>
      </w:r>
      <w:r w:rsidR="00506D05" w:rsidRPr="00EF350A">
        <w:rPr>
          <w:rFonts w:ascii="Arial" w:hAnsi="Arial" w:cs="Arial"/>
          <w:sz w:val="24"/>
          <w:szCs w:val="24"/>
        </w:rPr>
        <w:instrText xml:space="preserve"> LINK Excel.Sheet.8 "D:\\Mario\\Mfn_22mayo2012\\Biblio\\Inv Federalismo&amp;Partidos\\Data\\Libro2ene2012.xls" Hoja4!F34C1:F39C8 \a \f 4 \h  \* MERGEFORMAT </w:instrText>
      </w:r>
      <w:r w:rsidRPr="00EF350A">
        <w:rPr>
          <w:rFonts w:ascii="Arial" w:hAnsi="Arial" w:cs="Arial"/>
          <w:sz w:val="24"/>
          <w:szCs w:val="24"/>
        </w:rPr>
        <w:fldChar w:fldCharType="separate"/>
      </w:r>
    </w:p>
    <w:tbl>
      <w:tblPr>
        <w:tblW w:w="85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02"/>
        <w:gridCol w:w="203"/>
        <w:gridCol w:w="953"/>
        <w:gridCol w:w="353"/>
        <w:gridCol w:w="803"/>
        <w:gridCol w:w="503"/>
        <w:gridCol w:w="653"/>
        <w:gridCol w:w="652"/>
        <w:gridCol w:w="504"/>
        <w:gridCol w:w="803"/>
        <w:gridCol w:w="353"/>
        <w:gridCol w:w="952"/>
        <w:gridCol w:w="204"/>
        <w:gridCol w:w="1102"/>
      </w:tblGrid>
      <w:tr w:rsidR="00506D05" w:rsidRPr="00EF350A" w:rsidTr="00A50A1F">
        <w:trPr>
          <w:trHeight w:val="270"/>
        </w:trPr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Promedio por fase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06D05" w:rsidRPr="00EF350A" w:rsidTr="00A50A1F">
        <w:trPr>
          <w:trHeight w:val="255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1914-2009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1983-2009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1914-1942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1948-1954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1958-1965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1973-1999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2001-2009</w:t>
            </w:r>
          </w:p>
        </w:tc>
      </w:tr>
      <w:tr w:rsidR="00506D05" w:rsidRPr="00EF350A" w:rsidTr="00A50A1F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Promedio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3,35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3,72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2,76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2,33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4,22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4,93</w:t>
            </w:r>
          </w:p>
        </w:tc>
      </w:tr>
      <w:tr w:rsidR="00506D05" w:rsidRPr="00EF350A" w:rsidTr="00A50A1F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F350A">
              <w:rPr>
                <w:rFonts w:ascii="Arial" w:eastAsia="Times New Roman" w:hAnsi="Arial" w:cs="Arial"/>
                <w:sz w:val="24"/>
                <w:szCs w:val="24"/>
              </w:rPr>
              <w:t>Prom</w:t>
            </w:r>
            <w:proofErr w:type="spellEnd"/>
            <w:r w:rsidRPr="00EF350A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EF350A">
              <w:rPr>
                <w:rFonts w:ascii="Arial" w:eastAsia="Times New Roman" w:hAnsi="Arial" w:cs="Arial"/>
                <w:sz w:val="24"/>
                <w:szCs w:val="24"/>
              </w:rPr>
              <w:t>excTuc</w:t>
            </w:r>
            <w:proofErr w:type="spellEnd"/>
            <w:r w:rsidRPr="00EF350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3,31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3,74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2,63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2,41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4,17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5,03</w:t>
            </w:r>
          </w:p>
        </w:tc>
      </w:tr>
      <w:tr w:rsidR="00506D05" w:rsidRPr="00EF350A" w:rsidTr="00A50A1F">
        <w:trPr>
          <w:trHeight w:val="255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Promedio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2,92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2,93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2,27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1,93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3,83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2,84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3,25</w:t>
            </w:r>
          </w:p>
        </w:tc>
      </w:tr>
      <w:tr w:rsidR="00506D05" w:rsidRPr="00EF350A" w:rsidTr="00A50A1F">
        <w:trPr>
          <w:trHeight w:val="27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Razón Central /</w:t>
            </w:r>
            <w:proofErr w:type="spellStart"/>
            <w:r w:rsidRPr="00EF350A">
              <w:rPr>
                <w:rFonts w:ascii="Arial" w:eastAsia="Times New Roman" w:hAnsi="Arial" w:cs="Arial"/>
                <w:sz w:val="24"/>
                <w:szCs w:val="24"/>
              </w:rPr>
              <w:t>Perif</w:t>
            </w:r>
            <w:proofErr w:type="spellEnd"/>
            <w:r w:rsidRPr="00EF350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1,15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1,27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1,22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1,20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D05" w:rsidRPr="00EF350A" w:rsidRDefault="00506D05" w:rsidP="00EF350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350A">
              <w:rPr>
                <w:rFonts w:ascii="Arial" w:eastAsia="Times New Roman" w:hAnsi="Arial" w:cs="Arial"/>
                <w:sz w:val="24"/>
                <w:szCs w:val="24"/>
              </w:rPr>
              <w:t>1,52</w:t>
            </w:r>
          </w:p>
        </w:tc>
      </w:tr>
    </w:tbl>
    <w:p w:rsidR="00506D05" w:rsidRPr="00EF350A" w:rsidRDefault="00986B52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  <w:sz w:val="24"/>
          <w:szCs w:val="24"/>
        </w:rPr>
        <w:fldChar w:fldCharType="end"/>
      </w:r>
      <w:r w:rsidR="00506D05" w:rsidRPr="00EF350A">
        <w:rPr>
          <w:rFonts w:ascii="Arial" w:hAnsi="Arial" w:cs="Arial"/>
          <w:sz w:val="24"/>
          <w:szCs w:val="24"/>
        </w:rPr>
        <w:t xml:space="preserve"> </w:t>
      </w:r>
      <w:r w:rsidR="00506D05" w:rsidRPr="00EF350A">
        <w:rPr>
          <w:rFonts w:ascii="Arial" w:hAnsi="Arial" w:cs="Arial"/>
        </w:rPr>
        <w:t xml:space="preserve">Fuente: Elaboración propia con base en Cantón (1968) y Ministerio del Interior, Argentina, </w:t>
      </w:r>
      <w:hyperlink r:id="rId8" w:history="1">
        <w:r w:rsidR="00506D05"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506D05" w:rsidRDefault="00506D05" w:rsidP="00EF350A">
      <w:pPr>
        <w:rPr>
          <w:rFonts w:ascii="Arial" w:hAnsi="Arial" w:cs="Arial"/>
        </w:rPr>
      </w:pPr>
    </w:p>
    <w:p w:rsidR="00EF350A" w:rsidRDefault="00EF350A">
      <w:pPr>
        <w:rPr>
          <w:rFonts w:ascii="Arial" w:hAnsi="Arial" w:cs="Arial"/>
          <w:caps/>
          <w:spacing w:val="15"/>
          <w:sz w:val="24"/>
          <w:szCs w:val="24"/>
          <w:lang w:val="es-ES_tradnl"/>
        </w:rPr>
      </w:pPr>
      <w:r>
        <w:rPr>
          <w:rFonts w:ascii="Arial" w:hAnsi="Arial" w:cs="Arial"/>
        </w:rPr>
        <w:br w:type="page"/>
      </w:r>
      <w:bookmarkStart w:id="4" w:name="_Toc318271365"/>
    </w:p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sz w:val="24"/>
          <w:szCs w:val="24"/>
        </w:rPr>
        <w:lastRenderedPageBreak/>
        <w:t>Gráfico 2. Evolución del Índice de Nacionalización y valores NEP promedio interprovincial ponderado. Argentina, período 1983-2009</w:t>
      </w:r>
      <w:bookmarkEnd w:id="4"/>
    </w:p>
    <w:p w:rsidR="00506D05" w:rsidRPr="00EF350A" w:rsidRDefault="00506D05" w:rsidP="00EF350A">
      <w:pPr>
        <w:jc w:val="both"/>
        <w:rPr>
          <w:rFonts w:ascii="Arial" w:hAnsi="Arial" w:cs="Arial"/>
          <w:noProof/>
          <w:sz w:val="24"/>
          <w:szCs w:val="24"/>
        </w:rPr>
      </w:pPr>
      <w:r w:rsidRPr="00EF350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229225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857375" cy="655320"/>
            <wp:effectExtent l="19050" t="0" r="9525" b="0"/>
            <wp:docPr id="4" name="Obje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D05" w:rsidRPr="00EF350A" w:rsidRDefault="00506D05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</w:rPr>
        <w:t xml:space="preserve">Fuente: Elaboración propia con base en datos del Ministerio del Interior, Argentina. </w:t>
      </w:r>
      <w:hyperlink r:id="rId11" w:history="1">
        <w:r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EF350A" w:rsidRDefault="00EF35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sz w:val="24"/>
          <w:szCs w:val="24"/>
        </w:rPr>
        <w:lastRenderedPageBreak/>
        <w:t>Gráfico 3. Evolución del Índice de Nacionalización y valores NEP promedio interprovincial ponderado. Argentina, período 1914-2009</w:t>
      </w:r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35305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6D05" w:rsidRPr="00EF350A" w:rsidRDefault="00506D05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</w:rPr>
        <w:t xml:space="preserve">Fuente: Elaboración propia con base en datos del Ministerio del Interior, Argentina. </w:t>
      </w:r>
      <w:hyperlink r:id="rId13" w:history="1">
        <w:r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EF350A" w:rsidRDefault="00EF35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06D05" w:rsidRPr="00EF350A" w:rsidRDefault="00506D05" w:rsidP="00EF350A">
      <w:pPr>
        <w:pStyle w:val="Ttulo3"/>
        <w:spacing w:before="0"/>
        <w:jc w:val="both"/>
        <w:rPr>
          <w:rFonts w:ascii="Arial" w:hAnsi="Arial" w:cs="Arial"/>
          <w:sz w:val="24"/>
          <w:szCs w:val="24"/>
        </w:rPr>
      </w:pPr>
      <w:bookmarkStart w:id="5" w:name="_Toc318271366"/>
      <w:r w:rsidRPr="00EF350A">
        <w:rPr>
          <w:rFonts w:ascii="Arial" w:hAnsi="Arial" w:cs="Arial"/>
          <w:sz w:val="24"/>
          <w:szCs w:val="24"/>
        </w:rPr>
        <w:lastRenderedPageBreak/>
        <w:t>Tabla 4. Correlación entre el Promedio Interprovincial del Número Efectivo de Partidos ponderado según población y el índice de nacionalización del Sistema de Partidos. Paneles A y B, elecciones presidenciales y legislativas nacionales. Período 1983-2009</w:t>
      </w:r>
      <w:bookmarkEnd w:id="5"/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4370705" cy="1029335"/>
            <wp:effectExtent l="19050" t="19050" r="10795" b="18415"/>
            <wp:docPr id="5" name="Objet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05" cy="10293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06D05" w:rsidRPr="00EF350A" w:rsidRDefault="00506D05" w:rsidP="00EF350A">
      <w:pPr>
        <w:jc w:val="both"/>
        <w:rPr>
          <w:rFonts w:ascii="Arial" w:hAnsi="Arial" w:cs="Arial"/>
          <w:sz w:val="24"/>
          <w:szCs w:val="24"/>
        </w:rPr>
      </w:pPr>
      <w:r w:rsidRPr="00EF350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4370705" cy="935990"/>
            <wp:effectExtent l="19050" t="19050" r="10795" b="16510"/>
            <wp:docPr id="6" name="Objet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05" cy="9359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06D05" w:rsidRPr="00EF350A" w:rsidRDefault="00506D05" w:rsidP="00EF350A">
      <w:pPr>
        <w:jc w:val="both"/>
        <w:rPr>
          <w:rFonts w:ascii="Arial" w:hAnsi="Arial" w:cs="Arial"/>
        </w:rPr>
      </w:pPr>
      <w:r w:rsidRPr="00EF350A">
        <w:rPr>
          <w:rFonts w:ascii="Arial" w:hAnsi="Arial" w:cs="Arial"/>
        </w:rPr>
        <w:t xml:space="preserve">Fuente: Elaboración propia con base en datos del Ministerio del Interior, Argentina. </w:t>
      </w:r>
      <w:hyperlink r:id="rId16" w:history="1">
        <w:r w:rsidRPr="00EF350A">
          <w:rPr>
            <w:rStyle w:val="Hipervnculo"/>
            <w:rFonts w:ascii="Arial" w:hAnsi="Arial" w:cs="Arial"/>
          </w:rPr>
          <w:t>www.mininterior.gov.ar</w:t>
        </w:r>
      </w:hyperlink>
    </w:p>
    <w:p w:rsidR="00506D05" w:rsidRPr="00EF350A" w:rsidRDefault="00506D05" w:rsidP="00EF350A">
      <w:pPr>
        <w:rPr>
          <w:rFonts w:ascii="Arial" w:hAnsi="Arial" w:cs="Arial"/>
        </w:rPr>
      </w:pPr>
    </w:p>
    <w:sectPr w:rsidR="00506D05" w:rsidRPr="00EF350A" w:rsidSect="008538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6D05"/>
    <w:rsid w:val="00037692"/>
    <w:rsid w:val="00133B5E"/>
    <w:rsid w:val="00241C3E"/>
    <w:rsid w:val="003034D5"/>
    <w:rsid w:val="00373877"/>
    <w:rsid w:val="003F3F77"/>
    <w:rsid w:val="00506D05"/>
    <w:rsid w:val="00654EF6"/>
    <w:rsid w:val="007D562C"/>
    <w:rsid w:val="00853835"/>
    <w:rsid w:val="00893B0D"/>
    <w:rsid w:val="00986B52"/>
    <w:rsid w:val="009A0190"/>
    <w:rsid w:val="009A199B"/>
    <w:rsid w:val="00AE51EC"/>
    <w:rsid w:val="00BF70BB"/>
    <w:rsid w:val="00C06E7A"/>
    <w:rsid w:val="00D8244D"/>
    <w:rsid w:val="00DD54DF"/>
    <w:rsid w:val="00EF350A"/>
    <w:rsid w:val="00F826F5"/>
    <w:rsid w:val="00F9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D05"/>
    <w:rPr>
      <w:rFonts w:asciiTheme="minorHAnsi" w:eastAsiaTheme="minorEastAsia" w:hAnsiTheme="minorHAnsi" w:cstheme="minorBidi"/>
      <w:lang w:val="es-AR" w:eastAsia="es-AR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06D05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spacing w:val="15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6D05"/>
    <w:rPr>
      <w:rFonts w:asciiTheme="minorHAnsi" w:eastAsiaTheme="minorEastAsia" w:hAnsiTheme="minorHAnsi" w:cstheme="minorBidi"/>
      <w:caps/>
      <w:spacing w:val="15"/>
      <w:sz w:val="22"/>
      <w:szCs w:val="22"/>
      <w:lang w:val="es-ES_tradnl" w:eastAsia="es-AR"/>
    </w:rPr>
  </w:style>
  <w:style w:type="character" w:styleId="Hipervnculo">
    <w:name w:val="Hyperlink"/>
    <w:basedOn w:val="Fuentedeprrafopredeter"/>
    <w:rsid w:val="00506D0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06D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6D05"/>
    <w:rPr>
      <w:rFonts w:ascii="Tahoma" w:eastAsiaTheme="minorEastAsia" w:hAnsi="Tahoma" w:cs="Tahoma"/>
      <w:sz w:val="16"/>
      <w:szCs w:val="16"/>
      <w:lang w:val="es-AR" w:eastAsia="es-AR"/>
    </w:rPr>
  </w:style>
  <w:style w:type="table" w:styleId="Tablaconcuadrcula">
    <w:name w:val="Table Grid"/>
    <w:basedOn w:val="Tablanormal"/>
    <w:rsid w:val="00506D05"/>
    <w:rPr>
      <w:rFonts w:asciiTheme="minorHAnsi" w:eastAsiaTheme="minorEastAsia" w:hAnsiTheme="minorHAnsi" w:cstheme="minorBidi"/>
      <w:sz w:val="22"/>
      <w:szCs w:val="22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nterior.gov.ar" TargetMode="External"/><Relationship Id="rId13" Type="http://schemas.openxmlformats.org/officeDocument/2006/relationships/hyperlink" Target="http://www.mininterior.gov.a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ninterior.gov.ar" TargetMode="Externa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ininterior.gov.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ninterior.gov.ar" TargetMode="External"/><Relationship Id="rId11" Type="http://schemas.openxmlformats.org/officeDocument/2006/relationships/hyperlink" Target="http://www.mininterior.gov.ar" TargetMode="External"/><Relationship Id="rId5" Type="http://schemas.openxmlformats.org/officeDocument/2006/relationships/chart" Target="charts/chart1.xml"/><Relationship Id="rId15" Type="http://schemas.openxmlformats.org/officeDocument/2006/relationships/image" Target="media/image3.emf"/><Relationship Id="rId10" Type="http://schemas.openxmlformats.org/officeDocument/2006/relationships/image" Target="media/image1.emf"/><Relationship Id="rId4" Type="http://schemas.openxmlformats.org/officeDocument/2006/relationships/hyperlink" Target="http://www.mininterior.gov.ar" TargetMode="External"/><Relationship Id="rId9" Type="http://schemas.openxmlformats.org/officeDocument/2006/relationships/chart" Target="charts/chart2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rio\Mfn_22mayo2012\Trabajos\Studia\Studia_ap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rio\Mfn_22mayo2012\Trabajos\Studia\Studia_ap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rio\Mfn_22mayo2012\Trabajos\Studia\Studia_a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3"/>
          <c:order val="0"/>
          <c:tx>
            <c:strRef>
              <c:f>Hoja10!$D$1</c:f>
              <c:strCache>
                <c:ptCount val="1"/>
                <c:pt idx="0">
                  <c:v>Prom_p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Hoja10!$A$29:$A$42</c:f>
              <c:numCache>
                <c:formatCode>General</c:formatCode>
                <c:ptCount val="14"/>
                <c:pt idx="0">
                  <c:v>1983</c:v>
                </c:pt>
                <c:pt idx="1">
                  <c:v>1985</c:v>
                </c:pt>
                <c:pt idx="2">
                  <c:v>1987</c:v>
                </c:pt>
                <c:pt idx="3">
                  <c:v>1989</c:v>
                </c:pt>
                <c:pt idx="4">
                  <c:v>1991</c:v>
                </c:pt>
                <c:pt idx="5">
                  <c:v>1993</c:v>
                </c:pt>
                <c:pt idx="6">
                  <c:v>1995</c:v>
                </c:pt>
                <c:pt idx="7">
                  <c:v>1997</c:v>
                </c:pt>
                <c:pt idx="8">
                  <c:v>1999</c:v>
                </c:pt>
                <c:pt idx="9">
                  <c:v>2001</c:v>
                </c:pt>
                <c:pt idx="10">
                  <c:v>2003</c:v>
                </c:pt>
                <c:pt idx="11">
                  <c:v>2005</c:v>
                </c:pt>
                <c:pt idx="12">
                  <c:v>2007</c:v>
                </c:pt>
                <c:pt idx="13">
                  <c:v>2009</c:v>
                </c:pt>
              </c:numCache>
            </c:numRef>
          </c:cat>
          <c:val>
            <c:numRef>
              <c:f>Hoja10!$D$29:$D$42</c:f>
              <c:numCache>
                <c:formatCode>0.00_ ;[Red]\-0.00\ </c:formatCode>
                <c:ptCount val="14"/>
                <c:pt idx="0">
                  <c:v>2.5865831847504772</c:v>
                </c:pt>
                <c:pt idx="1">
                  <c:v>3.2526754027276517</c:v>
                </c:pt>
                <c:pt idx="2">
                  <c:v>3.0041555231537727</c:v>
                </c:pt>
                <c:pt idx="3">
                  <c:v>3.2038525181773747</c:v>
                </c:pt>
                <c:pt idx="4">
                  <c:v>3.3696903320400189</c:v>
                </c:pt>
                <c:pt idx="5">
                  <c:v>3.2197046817656982</c:v>
                </c:pt>
                <c:pt idx="6">
                  <c:v>3.2627649943273012</c:v>
                </c:pt>
                <c:pt idx="7">
                  <c:v>2.7577296438471266</c:v>
                </c:pt>
                <c:pt idx="8">
                  <c:v>3.4125963625436198</c:v>
                </c:pt>
                <c:pt idx="9">
                  <c:v>5.1934599321707475</c:v>
                </c:pt>
                <c:pt idx="10">
                  <c:v>4.206640124346376</c:v>
                </c:pt>
                <c:pt idx="11">
                  <c:v>3.8375556821013648</c:v>
                </c:pt>
                <c:pt idx="12">
                  <c:v>4.5562133605533921</c:v>
                </c:pt>
                <c:pt idx="13">
                  <c:v>3.6042521906963731</c:v>
                </c:pt>
              </c:numCache>
            </c:numRef>
          </c:val>
        </c:ser>
        <c:ser>
          <c:idx val="4"/>
          <c:order val="1"/>
          <c:tx>
            <c:strRef>
              <c:f>Hoja10!$E$1</c:f>
              <c:strCache>
                <c:ptCount val="1"/>
                <c:pt idx="0">
                  <c:v>PromInterp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Hoja10!$A$29:$A$42</c:f>
              <c:numCache>
                <c:formatCode>General</c:formatCode>
                <c:ptCount val="14"/>
                <c:pt idx="0">
                  <c:v>1983</c:v>
                </c:pt>
                <c:pt idx="1">
                  <c:v>1985</c:v>
                </c:pt>
                <c:pt idx="2">
                  <c:v>1987</c:v>
                </c:pt>
                <c:pt idx="3">
                  <c:v>1989</c:v>
                </c:pt>
                <c:pt idx="4">
                  <c:v>1991</c:v>
                </c:pt>
                <c:pt idx="5">
                  <c:v>1993</c:v>
                </c:pt>
                <c:pt idx="6">
                  <c:v>1995</c:v>
                </c:pt>
                <c:pt idx="7">
                  <c:v>1997</c:v>
                </c:pt>
                <c:pt idx="8">
                  <c:v>1999</c:v>
                </c:pt>
                <c:pt idx="9">
                  <c:v>2001</c:v>
                </c:pt>
                <c:pt idx="10">
                  <c:v>2003</c:v>
                </c:pt>
                <c:pt idx="11">
                  <c:v>2005</c:v>
                </c:pt>
                <c:pt idx="12">
                  <c:v>2007</c:v>
                </c:pt>
                <c:pt idx="13">
                  <c:v>2009</c:v>
                </c:pt>
              </c:numCache>
            </c:numRef>
          </c:cat>
          <c:val>
            <c:numRef>
              <c:f>Hoja10!$E$29:$E$42</c:f>
              <c:numCache>
                <c:formatCode>0.00_ ;[Red]\-0.00\ </c:formatCode>
                <c:ptCount val="14"/>
                <c:pt idx="0">
                  <c:v>2.6939130434782608</c:v>
                </c:pt>
                <c:pt idx="1">
                  <c:v>2.8747826086956532</c:v>
                </c:pt>
                <c:pt idx="2">
                  <c:v>2.7436232543632082</c:v>
                </c:pt>
                <c:pt idx="3">
                  <c:v>3.0347826086956515</c:v>
                </c:pt>
                <c:pt idx="4">
                  <c:v>2.9986956521739141</c:v>
                </c:pt>
                <c:pt idx="5">
                  <c:v>2.9482608695652175</c:v>
                </c:pt>
                <c:pt idx="6">
                  <c:v>3.1030434782608687</c:v>
                </c:pt>
                <c:pt idx="7">
                  <c:v>2.74</c:v>
                </c:pt>
                <c:pt idx="8">
                  <c:v>2.8060869565217388</c:v>
                </c:pt>
                <c:pt idx="9">
                  <c:v>3.989130434782608</c:v>
                </c:pt>
                <c:pt idx="10">
                  <c:v>4.165980406168825</c:v>
                </c:pt>
                <c:pt idx="11">
                  <c:v>3.27</c:v>
                </c:pt>
                <c:pt idx="12">
                  <c:v>2.7649910756064626</c:v>
                </c:pt>
                <c:pt idx="13">
                  <c:v>3.4643125164650614</c:v>
                </c:pt>
              </c:numCache>
            </c:numRef>
          </c:val>
        </c:ser>
        <c:marker val="1"/>
        <c:axId val="44801408"/>
        <c:axId val="45532672"/>
      </c:lineChart>
      <c:catAx>
        <c:axId val="44801408"/>
        <c:scaling>
          <c:orientation val="minMax"/>
        </c:scaling>
        <c:axPos val="b"/>
        <c:numFmt formatCode="General" sourceLinked="1"/>
        <c:tickLblPos val="nextTo"/>
        <c:crossAx val="45532672"/>
        <c:crosses val="autoZero"/>
        <c:auto val="1"/>
        <c:lblAlgn val="ctr"/>
        <c:lblOffset val="100"/>
      </c:catAx>
      <c:valAx>
        <c:axId val="45532672"/>
        <c:scaling>
          <c:orientation val="minMax"/>
        </c:scaling>
        <c:axPos val="l"/>
        <c:majorGridlines/>
        <c:numFmt formatCode="0.00_ ;[Red]\-0.00\ " sourceLinked="1"/>
        <c:tickLblPos val="nextTo"/>
        <c:crossAx val="4480140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5"/>
          <c:order val="1"/>
          <c:tx>
            <c:strRef>
              <c:f>'PSNS-Nep'!$G$1</c:f>
              <c:strCache>
                <c:ptCount val="1"/>
                <c:pt idx="0">
                  <c:v>Prom_p</c:v>
                </c:pt>
              </c:strCache>
            </c:strRef>
          </c:tx>
          <c:spPr>
            <a:ln w="38100">
              <a:solidFill>
                <a:schemeClr val="tx1"/>
              </a:solidFill>
              <a:prstDash val="sysDash"/>
            </a:ln>
          </c:spPr>
          <c:marker>
            <c:symbol val="none"/>
          </c:marker>
          <c:trendline>
            <c:trendlineType val="linear"/>
          </c:trendline>
          <c:cat>
            <c:numRef>
              <c:f>'PSNS-Nep'!$A$29:$A$42</c:f>
              <c:numCache>
                <c:formatCode>General</c:formatCode>
                <c:ptCount val="14"/>
                <c:pt idx="0">
                  <c:v>1983</c:v>
                </c:pt>
                <c:pt idx="1">
                  <c:v>1985</c:v>
                </c:pt>
                <c:pt idx="2">
                  <c:v>1987</c:v>
                </c:pt>
                <c:pt idx="3">
                  <c:v>1989</c:v>
                </c:pt>
                <c:pt idx="4">
                  <c:v>1991</c:v>
                </c:pt>
                <c:pt idx="5">
                  <c:v>1993</c:v>
                </c:pt>
                <c:pt idx="6">
                  <c:v>1995</c:v>
                </c:pt>
                <c:pt idx="7">
                  <c:v>1997</c:v>
                </c:pt>
                <c:pt idx="8">
                  <c:v>1999</c:v>
                </c:pt>
                <c:pt idx="9">
                  <c:v>2001</c:v>
                </c:pt>
                <c:pt idx="10">
                  <c:v>2003</c:v>
                </c:pt>
                <c:pt idx="11">
                  <c:v>2005</c:v>
                </c:pt>
                <c:pt idx="12">
                  <c:v>2007</c:v>
                </c:pt>
                <c:pt idx="13">
                  <c:v>2009</c:v>
                </c:pt>
              </c:numCache>
            </c:numRef>
          </c:cat>
          <c:val>
            <c:numRef>
              <c:f>'PSNS-Nep'!$G$29:$G$42</c:f>
              <c:numCache>
                <c:formatCode>0.00</c:formatCode>
                <c:ptCount val="14"/>
                <c:pt idx="0">
                  <c:v>2.5865831847504772</c:v>
                </c:pt>
                <c:pt idx="1">
                  <c:v>3.2526754027276517</c:v>
                </c:pt>
                <c:pt idx="2">
                  <c:v>3.0041555231537727</c:v>
                </c:pt>
                <c:pt idx="3">
                  <c:v>3.2038525181773747</c:v>
                </c:pt>
                <c:pt idx="4">
                  <c:v>3.3696903320400189</c:v>
                </c:pt>
                <c:pt idx="5">
                  <c:v>3.2197046817656982</c:v>
                </c:pt>
                <c:pt idx="6">
                  <c:v>3.2627649943273012</c:v>
                </c:pt>
                <c:pt idx="7">
                  <c:v>2.7577296438471266</c:v>
                </c:pt>
                <c:pt idx="8">
                  <c:v>3.4125963625436198</c:v>
                </c:pt>
                <c:pt idx="9">
                  <c:v>5.1934599321707475</c:v>
                </c:pt>
                <c:pt idx="10">
                  <c:v>4.206640124346376</c:v>
                </c:pt>
                <c:pt idx="11">
                  <c:v>3.8375556821013648</c:v>
                </c:pt>
                <c:pt idx="12">
                  <c:v>4.5562133605533921</c:v>
                </c:pt>
                <c:pt idx="13">
                  <c:v>3.6042521906963731</c:v>
                </c:pt>
              </c:numCache>
            </c:numRef>
          </c:val>
        </c:ser>
        <c:marker val="1"/>
        <c:axId val="75852800"/>
        <c:axId val="76370688"/>
      </c:lineChart>
      <c:lineChart>
        <c:grouping val="standard"/>
        <c:ser>
          <c:idx val="4"/>
          <c:order val="0"/>
          <c:tx>
            <c:strRef>
              <c:f>'PSNS-Nep'!$F$1</c:f>
              <c:strCache>
                <c:ptCount val="1"/>
                <c:pt idx="0">
                  <c:v>INSP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none"/>
          </c:marker>
          <c:trendline>
            <c:trendlineType val="linear"/>
          </c:trendline>
          <c:cat>
            <c:numRef>
              <c:f>'PSNS-Nep'!$A$29:$A$42</c:f>
              <c:numCache>
                <c:formatCode>General</c:formatCode>
                <c:ptCount val="14"/>
                <c:pt idx="0">
                  <c:v>1983</c:v>
                </c:pt>
                <c:pt idx="1">
                  <c:v>1985</c:v>
                </c:pt>
                <c:pt idx="2">
                  <c:v>1987</c:v>
                </c:pt>
                <c:pt idx="3">
                  <c:v>1989</c:v>
                </c:pt>
                <c:pt idx="4">
                  <c:v>1991</c:v>
                </c:pt>
                <c:pt idx="5">
                  <c:v>1993</c:v>
                </c:pt>
                <c:pt idx="6">
                  <c:v>1995</c:v>
                </c:pt>
                <c:pt idx="7">
                  <c:v>1997</c:v>
                </c:pt>
                <c:pt idx="8">
                  <c:v>1999</c:v>
                </c:pt>
                <c:pt idx="9">
                  <c:v>2001</c:v>
                </c:pt>
                <c:pt idx="10">
                  <c:v>2003</c:v>
                </c:pt>
                <c:pt idx="11">
                  <c:v>2005</c:v>
                </c:pt>
                <c:pt idx="12">
                  <c:v>2007</c:v>
                </c:pt>
                <c:pt idx="13">
                  <c:v>2009</c:v>
                </c:pt>
              </c:numCache>
            </c:numRef>
          </c:cat>
          <c:val>
            <c:numRef>
              <c:f>'PSNS-Nep'!$F$29:$F$42</c:f>
              <c:numCache>
                <c:formatCode>0.00_ ;[Red]\-0.00\ </c:formatCode>
                <c:ptCount val="14"/>
                <c:pt idx="0">
                  <c:v>0.79</c:v>
                </c:pt>
                <c:pt idx="1">
                  <c:v>0.81</c:v>
                </c:pt>
                <c:pt idx="2">
                  <c:v>0.74000000000000088</c:v>
                </c:pt>
                <c:pt idx="3">
                  <c:v>0.76000000000000101</c:v>
                </c:pt>
                <c:pt idx="4">
                  <c:v>0.62000000000000088</c:v>
                </c:pt>
                <c:pt idx="5">
                  <c:v>0.68</c:v>
                </c:pt>
                <c:pt idx="6">
                  <c:v>0.79</c:v>
                </c:pt>
                <c:pt idx="7">
                  <c:v>0.72000000000000064</c:v>
                </c:pt>
                <c:pt idx="8">
                  <c:v>0.73000000000000065</c:v>
                </c:pt>
                <c:pt idx="9">
                  <c:v>0.59</c:v>
                </c:pt>
                <c:pt idx="10">
                  <c:v>0.47200000000000031</c:v>
                </c:pt>
                <c:pt idx="11">
                  <c:v>0.60000000000000064</c:v>
                </c:pt>
                <c:pt idx="12">
                  <c:v>0.70321611213187862</c:v>
                </c:pt>
                <c:pt idx="13">
                  <c:v>0.46400000000000002</c:v>
                </c:pt>
              </c:numCache>
            </c:numRef>
          </c:val>
        </c:ser>
        <c:marker val="1"/>
        <c:axId val="76405760"/>
        <c:axId val="76403072"/>
      </c:lineChart>
      <c:catAx>
        <c:axId val="75852800"/>
        <c:scaling>
          <c:orientation val="minMax"/>
        </c:scaling>
        <c:axPos val="b"/>
        <c:numFmt formatCode="General" sourceLinked="1"/>
        <c:tickLblPos val="nextTo"/>
        <c:crossAx val="76370688"/>
        <c:crosses val="autoZero"/>
        <c:auto val="1"/>
        <c:lblAlgn val="ctr"/>
        <c:lblOffset val="100"/>
      </c:catAx>
      <c:valAx>
        <c:axId val="76370688"/>
        <c:scaling>
          <c:orientation val="minMax"/>
        </c:scaling>
        <c:axPos val="l"/>
        <c:majorGridlines/>
        <c:numFmt formatCode="0.00" sourceLinked="1"/>
        <c:tickLblPos val="nextTo"/>
        <c:crossAx val="75852800"/>
        <c:crosses val="autoZero"/>
        <c:crossBetween val="between"/>
      </c:valAx>
      <c:valAx>
        <c:axId val="76403072"/>
        <c:scaling>
          <c:orientation val="minMax"/>
        </c:scaling>
        <c:axPos val="r"/>
        <c:numFmt formatCode="0.00_ ;[Red]\-0.00\ " sourceLinked="1"/>
        <c:tickLblPos val="nextTo"/>
        <c:crossAx val="76405760"/>
        <c:crosses val="max"/>
        <c:crossBetween val="between"/>
      </c:valAx>
      <c:catAx>
        <c:axId val="76405760"/>
        <c:scaling>
          <c:orientation val="minMax"/>
        </c:scaling>
        <c:delete val="1"/>
        <c:axPos val="b"/>
        <c:numFmt formatCode="General" sourceLinked="1"/>
        <c:tickLblPos val="none"/>
        <c:crossAx val="76403072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n-US"/>
              <a:t>INSP y NEPs</a:t>
            </a:r>
          </a:p>
        </c:rich>
      </c:tx>
    </c:title>
    <c:plotArea>
      <c:layout/>
      <c:lineChart>
        <c:grouping val="standard"/>
        <c:ser>
          <c:idx val="5"/>
          <c:order val="1"/>
          <c:tx>
            <c:strRef>
              <c:f>'PSNS-Nep'!$G$1</c:f>
              <c:strCache>
                <c:ptCount val="1"/>
                <c:pt idx="0">
                  <c:v>Prom_p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trendline>
            <c:trendlineType val="linear"/>
          </c:trendline>
          <c:cat>
            <c:numRef>
              <c:f>'PSNS-Nep'!$A$2:$A$42</c:f>
              <c:numCache>
                <c:formatCode>General</c:formatCode>
                <c:ptCount val="41"/>
                <c:pt idx="0">
                  <c:v>1914</c:v>
                </c:pt>
                <c:pt idx="1">
                  <c:v>1916</c:v>
                </c:pt>
                <c:pt idx="2">
                  <c:v>1918</c:v>
                </c:pt>
                <c:pt idx="3">
                  <c:v>1920</c:v>
                </c:pt>
                <c:pt idx="4">
                  <c:v>1922</c:v>
                </c:pt>
                <c:pt idx="5">
                  <c:v>1924</c:v>
                </c:pt>
                <c:pt idx="6">
                  <c:v>1926</c:v>
                </c:pt>
                <c:pt idx="7">
                  <c:v>1928</c:v>
                </c:pt>
                <c:pt idx="8">
                  <c:v>1930</c:v>
                </c:pt>
                <c:pt idx="9">
                  <c:v>1931</c:v>
                </c:pt>
                <c:pt idx="10">
                  <c:v>1934</c:v>
                </c:pt>
                <c:pt idx="11">
                  <c:v>1936</c:v>
                </c:pt>
                <c:pt idx="12">
                  <c:v>1937</c:v>
                </c:pt>
                <c:pt idx="13">
                  <c:v>1938</c:v>
                </c:pt>
                <c:pt idx="14">
                  <c:v>1940</c:v>
                </c:pt>
                <c:pt idx="15">
                  <c:v>1942</c:v>
                </c:pt>
                <c:pt idx="16">
                  <c:v>1946</c:v>
                </c:pt>
                <c:pt idx="17">
                  <c:v>1946</c:v>
                </c:pt>
                <c:pt idx="18">
                  <c:v>1948</c:v>
                </c:pt>
                <c:pt idx="19">
                  <c:v>1951</c:v>
                </c:pt>
                <c:pt idx="20">
                  <c:v>1954</c:v>
                </c:pt>
                <c:pt idx="21">
                  <c:v>1958</c:v>
                </c:pt>
                <c:pt idx="22">
                  <c:v>1960</c:v>
                </c:pt>
                <c:pt idx="23">
                  <c:v>1962</c:v>
                </c:pt>
                <c:pt idx="24">
                  <c:v>1963</c:v>
                </c:pt>
                <c:pt idx="25">
                  <c:v>1965</c:v>
                </c:pt>
                <c:pt idx="26">
                  <c:v>1973</c:v>
                </c:pt>
                <c:pt idx="27">
                  <c:v>1983</c:v>
                </c:pt>
                <c:pt idx="28">
                  <c:v>1985</c:v>
                </c:pt>
                <c:pt idx="29">
                  <c:v>1987</c:v>
                </c:pt>
                <c:pt idx="30">
                  <c:v>1989</c:v>
                </c:pt>
                <c:pt idx="31">
                  <c:v>1991</c:v>
                </c:pt>
                <c:pt idx="32">
                  <c:v>1993</c:v>
                </c:pt>
                <c:pt idx="33">
                  <c:v>1995</c:v>
                </c:pt>
                <c:pt idx="34">
                  <c:v>1997</c:v>
                </c:pt>
                <c:pt idx="35">
                  <c:v>1999</c:v>
                </c:pt>
                <c:pt idx="36">
                  <c:v>2001</c:v>
                </c:pt>
                <c:pt idx="37">
                  <c:v>2003</c:v>
                </c:pt>
                <c:pt idx="38">
                  <c:v>2005</c:v>
                </c:pt>
                <c:pt idx="39">
                  <c:v>2007</c:v>
                </c:pt>
                <c:pt idx="40">
                  <c:v>2009</c:v>
                </c:pt>
              </c:numCache>
            </c:numRef>
          </c:cat>
          <c:val>
            <c:numRef>
              <c:f>'PSNS-Nep'!$G$2:$G$42</c:f>
              <c:numCache>
                <c:formatCode>0.00</c:formatCode>
                <c:ptCount val="41"/>
                <c:pt idx="0">
                  <c:v>2.5808771075627641</c:v>
                </c:pt>
                <c:pt idx="1">
                  <c:v>2.4947366147681787</c:v>
                </c:pt>
                <c:pt idx="2">
                  <c:v>2.6773967066938784</c:v>
                </c:pt>
                <c:pt idx="3">
                  <c:v>2.7159778055078072</c:v>
                </c:pt>
                <c:pt idx="4">
                  <c:v>2.6382128457144352</c:v>
                </c:pt>
                <c:pt idx="5">
                  <c:v>2.7296366701487731</c:v>
                </c:pt>
                <c:pt idx="6">
                  <c:v>2.8478262044854659</c:v>
                </c:pt>
                <c:pt idx="7">
                  <c:v>2.3219032213224002</c:v>
                </c:pt>
                <c:pt idx="8">
                  <c:v>2.9615791364787833</c:v>
                </c:pt>
                <c:pt idx="9">
                  <c:v>2.5958266084602197</c:v>
                </c:pt>
                <c:pt idx="10">
                  <c:v>3.2493939171894444</c:v>
                </c:pt>
                <c:pt idx="11">
                  <c:v>2.6480552190070981</c:v>
                </c:pt>
                <c:pt idx="12">
                  <c:v>1.9964661998583431</c:v>
                </c:pt>
                <c:pt idx="13">
                  <c:v>2.6068320572057142</c:v>
                </c:pt>
                <c:pt idx="14">
                  <c:v>2.7390024084147724</c:v>
                </c:pt>
                <c:pt idx="15">
                  <c:v>2.7751724964688602</c:v>
                </c:pt>
                <c:pt idx="16">
                  <c:v>2.1521945270077381</c:v>
                </c:pt>
                <c:pt idx="17">
                  <c:v>3.2237682126636082</c:v>
                </c:pt>
                <c:pt idx="18">
                  <c:v>2.1757240259917192</c:v>
                </c:pt>
                <c:pt idx="19">
                  <c:v>2.0047835644055252</c:v>
                </c:pt>
                <c:pt idx="20">
                  <c:v>1.9903344198312964</c:v>
                </c:pt>
                <c:pt idx="21">
                  <c:v>3.2804303741140002</c:v>
                </c:pt>
                <c:pt idx="22">
                  <c:v>3.2804303741140002</c:v>
                </c:pt>
                <c:pt idx="23">
                  <c:v>5.2749431580230723</c:v>
                </c:pt>
                <c:pt idx="24">
                  <c:v>4.3499387136349315</c:v>
                </c:pt>
                <c:pt idx="25">
                  <c:v>5.8093565319371754</c:v>
                </c:pt>
                <c:pt idx="26">
                  <c:v>4.4588743949141678</c:v>
                </c:pt>
                <c:pt idx="27">
                  <c:v>2.5865831847504772</c:v>
                </c:pt>
                <c:pt idx="28">
                  <c:v>3.2526754027276517</c:v>
                </c:pt>
                <c:pt idx="29">
                  <c:v>3.0041555231537727</c:v>
                </c:pt>
                <c:pt idx="30">
                  <c:v>3.2038525181773747</c:v>
                </c:pt>
                <c:pt idx="31">
                  <c:v>3.3696903320400189</c:v>
                </c:pt>
                <c:pt idx="32">
                  <c:v>3.2197046817656982</c:v>
                </c:pt>
                <c:pt idx="33">
                  <c:v>3.2627649943273012</c:v>
                </c:pt>
                <c:pt idx="34">
                  <c:v>2.7577296438471266</c:v>
                </c:pt>
                <c:pt idx="35">
                  <c:v>3.4125963625436198</c:v>
                </c:pt>
                <c:pt idx="36">
                  <c:v>5.1934599321707475</c:v>
                </c:pt>
                <c:pt idx="37">
                  <c:v>4.206640124346376</c:v>
                </c:pt>
                <c:pt idx="38">
                  <c:v>3.8375556821013648</c:v>
                </c:pt>
                <c:pt idx="39">
                  <c:v>4.5562133605533921</c:v>
                </c:pt>
                <c:pt idx="40">
                  <c:v>3.6042521906963731</c:v>
                </c:pt>
              </c:numCache>
            </c:numRef>
          </c:val>
        </c:ser>
        <c:ser>
          <c:idx val="6"/>
          <c:order val="2"/>
          <c:tx>
            <c:strRef>
              <c:f>'PSNS-Nep'!$H$1</c:f>
              <c:strCache>
                <c:ptCount val="1"/>
                <c:pt idx="0">
                  <c:v>PromInterp</c:v>
                </c:pt>
              </c:strCache>
            </c:strRef>
          </c:tx>
          <c:spPr>
            <a:ln w="22225">
              <a:solidFill>
                <a:schemeClr val="tx1"/>
              </a:solidFill>
              <a:prstDash val="lgDash"/>
            </a:ln>
          </c:spPr>
          <c:marker>
            <c:symbol val="none"/>
          </c:marker>
          <c:cat>
            <c:numRef>
              <c:f>'PSNS-Nep'!$A$2:$A$42</c:f>
              <c:numCache>
                <c:formatCode>General</c:formatCode>
                <c:ptCount val="41"/>
                <c:pt idx="0">
                  <c:v>1914</c:v>
                </c:pt>
                <c:pt idx="1">
                  <c:v>1916</c:v>
                </c:pt>
                <c:pt idx="2">
                  <c:v>1918</c:v>
                </c:pt>
                <c:pt idx="3">
                  <c:v>1920</c:v>
                </c:pt>
                <c:pt idx="4">
                  <c:v>1922</c:v>
                </c:pt>
                <c:pt idx="5">
                  <c:v>1924</c:v>
                </c:pt>
                <c:pt idx="6">
                  <c:v>1926</c:v>
                </c:pt>
                <c:pt idx="7">
                  <c:v>1928</c:v>
                </c:pt>
                <c:pt idx="8">
                  <c:v>1930</c:v>
                </c:pt>
                <c:pt idx="9">
                  <c:v>1931</c:v>
                </c:pt>
                <c:pt idx="10">
                  <c:v>1934</c:v>
                </c:pt>
                <c:pt idx="11">
                  <c:v>1936</c:v>
                </c:pt>
                <c:pt idx="12">
                  <c:v>1937</c:v>
                </c:pt>
                <c:pt idx="13">
                  <c:v>1938</c:v>
                </c:pt>
                <c:pt idx="14">
                  <c:v>1940</c:v>
                </c:pt>
                <c:pt idx="15">
                  <c:v>1942</c:v>
                </c:pt>
                <c:pt idx="16">
                  <c:v>1946</c:v>
                </c:pt>
                <c:pt idx="17">
                  <c:v>1946</c:v>
                </c:pt>
                <c:pt idx="18">
                  <c:v>1948</c:v>
                </c:pt>
                <c:pt idx="19">
                  <c:v>1951</c:v>
                </c:pt>
                <c:pt idx="20">
                  <c:v>1954</c:v>
                </c:pt>
                <c:pt idx="21">
                  <c:v>1958</c:v>
                </c:pt>
                <c:pt idx="22">
                  <c:v>1960</c:v>
                </c:pt>
                <c:pt idx="23">
                  <c:v>1962</c:v>
                </c:pt>
                <c:pt idx="24">
                  <c:v>1963</c:v>
                </c:pt>
                <c:pt idx="25">
                  <c:v>1965</c:v>
                </c:pt>
                <c:pt idx="26">
                  <c:v>1973</c:v>
                </c:pt>
                <c:pt idx="27">
                  <c:v>1983</c:v>
                </c:pt>
                <c:pt idx="28">
                  <c:v>1985</c:v>
                </c:pt>
                <c:pt idx="29">
                  <c:v>1987</c:v>
                </c:pt>
                <c:pt idx="30">
                  <c:v>1989</c:v>
                </c:pt>
                <c:pt idx="31">
                  <c:v>1991</c:v>
                </c:pt>
                <c:pt idx="32">
                  <c:v>1993</c:v>
                </c:pt>
                <c:pt idx="33">
                  <c:v>1995</c:v>
                </c:pt>
                <c:pt idx="34">
                  <c:v>1997</c:v>
                </c:pt>
                <c:pt idx="35">
                  <c:v>1999</c:v>
                </c:pt>
                <c:pt idx="36">
                  <c:v>2001</c:v>
                </c:pt>
                <c:pt idx="37">
                  <c:v>2003</c:v>
                </c:pt>
                <c:pt idx="38">
                  <c:v>2005</c:v>
                </c:pt>
                <c:pt idx="39">
                  <c:v>2007</c:v>
                </c:pt>
                <c:pt idx="40">
                  <c:v>2009</c:v>
                </c:pt>
              </c:numCache>
            </c:numRef>
          </c:cat>
          <c:val>
            <c:numRef>
              <c:f>'PSNS-Nep'!$H$2:$H$42</c:f>
              <c:numCache>
                <c:formatCode>0.00</c:formatCode>
                <c:ptCount val="41"/>
                <c:pt idx="0">
                  <c:v>2.2019707191210012</c:v>
                </c:pt>
                <c:pt idx="1">
                  <c:v>2.3686992256063952</c:v>
                </c:pt>
                <c:pt idx="2">
                  <c:v>2.4863404088109342</c:v>
                </c:pt>
                <c:pt idx="3">
                  <c:v>2.679191147240839</c:v>
                </c:pt>
                <c:pt idx="4">
                  <c:v>2.4530847637197022</c:v>
                </c:pt>
                <c:pt idx="5">
                  <c:v>2.655022572498563</c:v>
                </c:pt>
                <c:pt idx="6">
                  <c:v>2.7858522149762517</c:v>
                </c:pt>
                <c:pt idx="7">
                  <c:v>2.2066833590470236</c:v>
                </c:pt>
                <c:pt idx="8">
                  <c:v>2.7103929221965886</c:v>
                </c:pt>
                <c:pt idx="9">
                  <c:v>2.6395853401073786</c:v>
                </c:pt>
                <c:pt idx="10">
                  <c:v>2.9460930221018287</c:v>
                </c:pt>
                <c:pt idx="11">
                  <c:v>2.5569044988605132</c:v>
                </c:pt>
                <c:pt idx="12">
                  <c:v>2.0149557737731723</c:v>
                </c:pt>
                <c:pt idx="13">
                  <c:v>2.3171692147042187</c:v>
                </c:pt>
                <c:pt idx="14">
                  <c:v>2.6465907343893962</c:v>
                </c:pt>
                <c:pt idx="15">
                  <c:v>2.4203545483333535</c:v>
                </c:pt>
                <c:pt idx="16">
                  <c:v>2.1732442155889209</c:v>
                </c:pt>
                <c:pt idx="17">
                  <c:v>3.0522059549055367</c:v>
                </c:pt>
                <c:pt idx="18">
                  <c:v>1.9381179636078421</c:v>
                </c:pt>
                <c:pt idx="19">
                  <c:v>1.7786057379287881</c:v>
                </c:pt>
                <c:pt idx="20">
                  <c:v>1.8087328693235558</c:v>
                </c:pt>
                <c:pt idx="21">
                  <c:v>3.4920179848921227</c:v>
                </c:pt>
                <c:pt idx="22">
                  <c:v>4.6659734604255396</c:v>
                </c:pt>
                <c:pt idx="23">
                  <c:v>4.0052298750649884</c:v>
                </c:pt>
                <c:pt idx="24">
                  <c:v>5.0650310592109067</c:v>
                </c:pt>
                <c:pt idx="25">
                  <c:v>4.5561882111115395</c:v>
                </c:pt>
                <c:pt idx="26">
                  <c:v>2.3342294624548123</c:v>
                </c:pt>
                <c:pt idx="27">
                  <c:v>2.6939130434782608</c:v>
                </c:pt>
                <c:pt idx="28">
                  <c:v>2.8747826086956532</c:v>
                </c:pt>
                <c:pt idx="29">
                  <c:v>2.7436232543632082</c:v>
                </c:pt>
                <c:pt idx="30">
                  <c:v>3.0347826086956515</c:v>
                </c:pt>
                <c:pt idx="31">
                  <c:v>2.9986956521739141</c:v>
                </c:pt>
                <c:pt idx="32">
                  <c:v>2.9482608695652175</c:v>
                </c:pt>
                <c:pt idx="33">
                  <c:v>3.1030434782608687</c:v>
                </c:pt>
                <c:pt idx="34">
                  <c:v>2.74</c:v>
                </c:pt>
                <c:pt idx="35">
                  <c:v>2.8060869565217388</c:v>
                </c:pt>
                <c:pt idx="36">
                  <c:v>3.989130434782608</c:v>
                </c:pt>
                <c:pt idx="37">
                  <c:v>4.165980406168825</c:v>
                </c:pt>
                <c:pt idx="38">
                  <c:v>3.27</c:v>
                </c:pt>
                <c:pt idx="39">
                  <c:v>2.7649910756064626</c:v>
                </c:pt>
                <c:pt idx="40">
                  <c:v>3.4643125164650614</c:v>
                </c:pt>
              </c:numCache>
            </c:numRef>
          </c:val>
        </c:ser>
        <c:marker val="1"/>
        <c:axId val="78531200"/>
        <c:axId val="78539008"/>
      </c:lineChart>
      <c:lineChart>
        <c:grouping val="standard"/>
        <c:ser>
          <c:idx val="4"/>
          <c:order val="0"/>
          <c:tx>
            <c:strRef>
              <c:f>'PSNS-Nep'!$F$1</c:f>
              <c:strCache>
                <c:ptCount val="1"/>
                <c:pt idx="0">
                  <c:v>INSP</c:v>
                </c:pt>
              </c:strCache>
            </c:strRef>
          </c:tx>
          <c:spPr>
            <a:ln w="34925">
              <a:solidFill>
                <a:schemeClr val="tx1"/>
              </a:solidFill>
              <a:prstDash val="sysDash"/>
            </a:ln>
          </c:spPr>
          <c:marker>
            <c:symbol val="none"/>
          </c:marker>
          <c:trendline>
            <c:spPr>
              <a:ln>
                <a:prstDash val="sysDash"/>
              </a:ln>
            </c:spPr>
            <c:trendlineType val="linear"/>
          </c:trendline>
          <c:cat>
            <c:numRef>
              <c:f>'PSNS-Nep'!$A$2:$A$42</c:f>
              <c:numCache>
                <c:formatCode>General</c:formatCode>
                <c:ptCount val="41"/>
                <c:pt idx="0">
                  <c:v>1914</c:v>
                </c:pt>
                <c:pt idx="1">
                  <c:v>1916</c:v>
                </c:pt>
                <c:pt idx="2">
                  <c:v>1918</c:v>
                </c:pt>
                <c:pt idx="3">
                  <c:v>1920</c:v>
                </c:pt>
                <c:pt idx="4">
                  <c:v>1922</c:v>
                </c:pt>
                <c:pt idx="5">
                  <c:v>1924</c:v>
                </c:pt>
                <c:pt idx="6">
                  <c:v>1926</c:v>
                </c:pt>
                <c:pt idx="7">
                  <c:v>1928</c:v>
                </c:pt>
                <c:pt idx="8">
                  <c:v>1930</c:v>
                </c:pt>
                <c:pt idx="9">
                  <c:v>1931</c:v>
                </c:pt>
                <c:pt idx="10">
                  <c:v>1934</c:v>
                </c:pt>
                <c:pt idx="11">
                  <c:v>1936</c:v>
                </c:pt>
                <c:pt idx="12">
                  <c:v>1937</c:v>
                </c:pt>
                <c:pt idx="13">
                  <c:v>1938</c:v>
                </c:pt>
                <c:pt idx="14">
                  <c:v>1940</c:v>
                </c:pt>
                <c:pt idx="15">
                  <c:v>1942</c:v>
                </c:pt>
                <c:pt idx="16">
                  <c:v>1946</c:v>
                </c:pt>
                <c:pt idx="17">
                  <c:v>1946</c:v>
                </c:pt>
                <c:pt idx="18">
                  <c:v>1948</c:v>
                </c:pt>
                <c:pt idx="19">
                  <c:v>1951</c:v>
                </c:pt>
                <c:pt idx="20">
                  <c:v>1954</c:v>
                </c:pt>
                <c:pt idx="21">
                  <c:v>1958</c:v>
                </c:pt>
                <c:pt idx="22">
                  <c:v>1960</c:v>
                </c:pt>
                <c:pt idx="23">
                  <c:v>1962</c:v>
                </c:pt>
                <c:pt idx="24">
                  <c:v>1963</c:v>
                </c:pt>
                <c:pt idx="25">
                  <c:v>1965</c:v>
                </c:pt>
                <c:pt idx="26">
                  <c:v>1973</c:v>
                </c:pt>
                <c:pt idx="27">
                  <c:v>1983</c:v>
                </c:pt>
                <c:pt idx="28">
                  <c:v>1985</c:v>
                </c:pt>
                <c:pt idx="29">
                  <c:v>1987</c:v>
                </c:pt>
                <c:pt idx="30">
                  <c:v>1989</c:v>
                </c:pt>
                <c:pt idx="31">
                  <c:v>1991</c:v>
                </c:pt>
                <c:pt idx="32">
                  <c:v>1993</c:v>
                </c:pt>
                <c:pt idx="33">
                  <c:v>1995</c:v>
                </c:pt>
                <c:pt idx="34">
                  <c:v>1997</c:v>
                </c:pt>
                <c:pt idx="35">
                  <c:v>1999</c:v>
                </c:pt>
                <c:pt idx="36">
                  <c:v>2001</c:v>
                </c:pt>
                <c:pt idx="37">
                  <c:v>2003</c:v>
                </c:pt>
                <c:pt idx="38">
                  <c:v>2005</c:v>
                </c:pt>
                <c:pt idx="39">
                  <c:v>2007</c:v>
                </c:pt>
                <c:pt idx="40">
                  <c:v>2009</c:v>
                </c:pt>
              </c:numCache>
            </c:numRef>
          </c:cat>
          <c:val>
            <c:numRef>
              <c:f>'PSNS-Nep'!$F$2:$F$42</c:f>
              <c:numCache>
                <c:formatCode>0.00_ ;[Red]\-0.00\ </c:formatCode>
                <c:ptCount val="41"/>
                <c:pt idx="0">
                  <c:v>0.27834119763662901</c:v>
                </c:pt>
                <c:pt idx="1">
                  <c:v>0.48560228329170935</c:v>
                </c:pt>
                <c:pt idx="2">
                  <c:v>0.47645208460553534</c:v>
                </c:pt>
                <c:pt idx="3">
                  <c:v>0.47527159170195582</c:v>
                </c:pt>
                <c:pt idx="4">
                  <c:v>0.45564478382397638</c:v>
                </c:pt>
                <c:pt idx="5">
                  <c:v>0.25143692641080639</c:v>
                </c:pt>
                <c:pt idx="6">
                  <c:v>0.4011179097997104</c:v>
                </c:pt>
                <c:pt idx="7">
                  <c:v>0.60773684582298049</c:v>
                </c:pt>
                <c:pt idx="8">
                  <c:v>0.43123240462041112</c:v>
                </c:pt>
                <c:pt idx="9">
                  <c:v>0.42291426811362792</c:v>
                </c:pt>
                <c:pt idx="10">
                  <c:v>0.31750716520289246</c:v>
                </c:pt>
                <c:pt idx="11">
                  <c:v>0.46947757198050444</c:v>
                </c:pt>
                <c:pt idx="12">
                  <c:v>0.79313254694624635</c:v>
                </c:pt>
                <c:pt idx="13">
                  <c:v>0.28714726007061397</c:v>
                </c:pt>
                <c:pt idx="14">
                  <c:v>0.59035820961674157</c:v>
                </c:pt>
                <c:pt idx="15">
                  <c:v>0.39640857095010273</c:v>
                </c:pt>
                <c:pt idx="16">
                  <c:v>0.85683481492015956</c:v>
                </c:pt>
                <c:pt idx="17">
                  <c:v>0.43056608395037038</c:v>
                </c:pt>
                <c:pt idx="18">
                  <c:v>0.78406899675987063</c:v>
                </c:pt>
                <c:pt idx="19">
                  <c:v>0.87989026047675856</c:v>
                </c:pt>
                <c:pt idx="20">
                  <c:v>0.88076224341698317</c:v>
                </c:pt>
                <c:pt idx="21">
                  <c:v>0.75800000000000101</c:v>
                </c:pt>
                <c:pt idx="22">
                  <c:v>0.65217985862634098</c:v>
                </c:pt>
                <c:pt idx="23">
                  <c:v>0.44091172699729786</c:v>
                </c:pt>
                <c:pt idx="24">
                  <c:v>0.57519667198778479</c:v>
                </c:pt>
                <c:pt idx="25">
                  <c:v>0.56920389328273135</c:v>
                </c:pt>
                <c:pt idx="26">
                  <c:v>0.75012010670215012</c:v>
                </c:pt>
                <c:pt idx="27">
                  <c:v>0.79</c:v>
                </c:pt>
                <c:pt idx="28">
                  <c:v>0.81</c:v>
                </c:pt>
                <c:pt idx="29">
                  <c:v>0.74000000000000088</c:v>
                </c:pt>
                <c:pt idx="30">
                  <c:v>0.76000000000000101</c:v>
                </c:pt>
                <c:pt idx="31">
                  <c:v>0.62000000000000088</c:v>
                </c:pt>
                <c:pt idx="32">
                  <c:v>0.68</c:v>
                </c:pt>
                <c:pt idx="33">
                  <c:v>0.79</c:v>
                </c:pt>
                <c:pt idx="34">
                  <c:v>0.72000000000000064</c:v>
                </c:pt>
                <c:pt idx="35">
                  <c:v>0.73000000000000065</c:v>
                </c:pt>
                <c:pt idx="36">
                  <c:v>0.59</c:v>
                </c:pt>
                <c:pt idx="37">
                  <c:v>0.47200000000000031</c:v>
                </c:pt>
                <c:pt idx="38">
                  <c:v>0.60000000000000064</c:v>
                </c:pt>
                <c:pt idx="39">
                  <c:v>0.70321611213187862</c:v>
                </c:pt>
                <c:pt idx="40">
                  <c:v>0.46400000000000002</c:v>
                </c:pt>
              </c:numCache>
            </c:numRef>
          </c:val>
        </c:ser>
        <c:marker val="1"/>
        <c:axId val="79783808"/>
        <c:axId val="79726848"/>
      </c:lineChart>
      <c:catAx>
        <c:axId val="78531200"/>
        <c:scaling>
          <c:orientation val="minMax"/>
        </c:scaling>
        <c:axPos val="b"/>
        <c:numFmt formatCode="General" sourceLinked="1"/>
        <c:majorTickMark val="none"/>
        <c:tickLblPos val="nextTo"/>
        <c:crossAx val="78539008"/>
        <c:crosses val="autoZero"/>
        <c:auto val="1"/>
        <c:lblAlgn val="ctr"/>
        <c:lblOffset val="100"/>
      </c:catAx>
      <c:valAx>
        <c:axId val="78539008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spPr>
          <a:ln w="9525">
            <a:noFill/>
          </a:ln>
        </c:spPr>
        <c:crossAx val="78531200"/>
        <c:crosses val="autoZero"/>
        <c:crossBetween val="between"/>
      </c:valAx>
      <c:valAx>
        <c:axId val="79726848"/>
        <c:scaling>
          <c:orientation val="minMax"/>
        </c:scaling>
        <c:axPos val="r"/>
        <c:numFmt formatCode="0.00_ ;[Red]\-0.00\ " sourceLinked="1"/>
        <c:tickLblPos val="nextTo"/>
        <c:crossAx val="79783808"/>
        <c:crosses val="max"/>
        <c:crossBetween val="between"/>
      </c:valAx>
      <c:catAx>
        <c:axId val="79783808"/>
        <c:scaling>
          <c:orientation val="minMax"/>
        </c:scaling>
        <c:delete val="1"/>
        <c:axPos val="b"/>
        <c:numFmt formatCode="General" sourceLinked="1"/>
        <c:tickLblPos val="none"/>
        <c:crossAx val="79726848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Charly</cp:lastModifiedBy>
  <cp:revision>3</cp:revision>
  <dcterms:created xsi:type="dcterms:W3CDTF">2014-03-03T01:36:00Z</dcterms:created>
  <dcterms:modified xsi:type="dcterms:W3CDTF">2014-03-03T03:00:00Z</dcterms:modified>
</cp:coreProperties>
</file>